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F0F" w:rsidRDefault="00A45F0F" w:rsidP="00A45F0F">
      <w:pPr>
        <w:pStyle w:val="a3"/>
        <w:tabs>
          <w:tab w:val="left" w:pos="1300"/>
          <w:tab w:val="center" w:pos="4677"/>
        </w:tabs>
        <w:spacing w:line="240" w:lineRule="auto"/>
        <w:rPr>
          <w:rFonts w:ascii="Times New Roman" w:hAnsi="Times New Roman" w:cs="Times New Roman"/>
          <w:b/>
          <w:caps/>
          <w:sz w:val="28"/>
        </w:rPr>
      </w:pPr>
      <w:r>
        <w:rPr>
          <w:rFonts w:ascii="Times New Roman" w:hAnsi="Times New Roman" w:cs="Times New Roman"/>
          <w:b/>
          <w:caps/>
          <w:sz w:val="28"/>
        </w:rPr>
        <w:t>Российская Федерация</w:t>
      </w:r>
    </w:p>
    <w:p w:rsidR="00A45F0F" w:rsidRDefault="00A45F0F" w:rsidP="00A45F0F">
      <w:pPr>
        <w:pStyle w:val="a3"/>
        <w:rPr>
          <w:rFonts w:ascii="Times New Roman" w:hAnsi="Times New Roman" w:cs="Times New Roman"/>
          <w:b/>
          <w:caps/>
          <w:sz w:val="28"/>
        </w:rPr>
      </w:pPr>
      <w:r>
        <w:rPr>
          <w:rFonts w:ascii="Times New Roman" w:hAnsi="Times New Roman" w:cs="Times New Roman"/>
          <w:b/>
          <w:caps/>
          <w:sz w:val="28"/>
        </w:rPr>
        <w:t>БРЯНСКАЯ ОБЛАСТЬ</w:t>
      </w:r>
    </w:p>
    <w:p w:rsidR="00A45F0F" w:rsidRDefault="00A45F0F" w:rsidP="00A45F0F">
      <w:pPr>
        <w:pStyle w:val="a9"/>
        <w:rPr>
          <w:b/>
        </w:rPr>
      </w:pPr>
      <w:r>
        <w:rPr>
          <w:b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0"/>
      </w:tblGrid>
      <w:tr w:rsidR="00A45F0F" w:rsidTr="00A45F0F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45F0F" w:rsidRDefault="00A45F0F">
            <w:pPr>
              <w:pStyle w:val="a9"/>
              <w:spacing w:before="240" w:after="240" w:line="240" w:lineRule="auto"/>
              <w:ind w:firstLine="709"/>
              <w:rPr>
                <w:b/>
                <w:sz w:val="44"/>
                <w:szCs w:val="44"/>
                <w:lang w:eastAsia="en-US"/>
              </w:rPr>
            </w:pPr>
            <w:r>
              <w:rPr>
                <w:b/>
                <w:sz w:val="44"/>
                <w:szCs w:val="44"/>
                <w:lang w:eastAsia="en-US"/>
              </w:rPr>
              <w:t>РЕШЕНИЕ</w:t>
            </w:r>
          </w:p>
        </w:tc>
      </w:tr>
    </w:tbl>
    <w:p w:rsidR="00A45F0F" w:rsidRDefault="00A45F0F" w:rsidP="00A45F0F">
      <w:pPr>
        <w:spacing w:line="360" w:lineRule="auto"/>
        <w:rPr>
          <w:b/>
        </w:rPr>
      </w:pPr>
      <w:r>
        <w:rPr>
          <w:b/>
        </w:rPr>
        <w:t xml:space="preserve">От </w:t>
      </w:r>
      <w:r w:rsidR="004D26DB">
        <w:rPr>
          <w:b/>
        </w:rPr>
        <w:t xml:space="preserve"> 19.10.2016 г. </w:t>
      </w:r>
      <w:r>
        <w:rPr>
          <w:b/>
        </w:rPr>
        <w:t>№</w:t>
      </w:r>
      <w:r w:rsidR="004D26DB">
        <w:rPr>
          <w:b/>
        </w:rPr>
        <w:t xml:space="preserve"> 5-167</w:t>
      </w:r>
    </w:p>
    <w:p w:rsidR="00A45F0F" w:rsidRDefault="00A45F0F" w:rsidP="00A45F0F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A45F0F" w:rsidRDefault="00A45F0F" w:rsidP="00A45F0F">
      <w:pPr>
        <w:jc w:val="both"/>
        <w:rPr>
          <w:b/>
        </w:rPr>
      </w:pPr>
      <w:r>
        <w:rPr>
          <w:b/>
        </w:rPr>
        <w:t>О внесении изменения  в решение Унечского</w:t>
      </w:r>
    </w:p>
    <w:p w:rsidR="00A45F0F" w:rsidRDefault="00A45F0F" w:rsidP="00A45F0F">
      <w:pPr>
        <w:jc w:val="both"/>
        <w:rPr>
          <w:b/>
        </w:rPr>
      </w:pPr>
      <w:r>
        <w:rPr>
          <w:b/>
        </w:rPr>
        <w:t xml:space="preserve">районного Совета народных депутатов </w:t>
      </w:r>
      <w:proofErr w:type="gramStart"/>
      <w:r>
        <w:rPr>
          <w:b/>
        </w:rPr>
        <w:t>от</w:t>
      </w:r>
      <w:proofErr w:type="gramEnd"/>
      <w:r>
        <w:rPr>
          <w:b/>
        </w:rPr>
        <w:t xml:space="preserve"> </w:t>
      </w:r>
    </w:p>
    <w:p w:rsidR="00A45F0F" w:rsidRDefault="00A45F0F" w:rsidP="00A45F0F">
      <w:pPr>
        <w:jc w:val="both"/>
        <w:rPr>
          <w:b/>
        </w:rPr>
      </w:pPr>
      <w:r>
        <w:rPr>
          <w:b/>
        </w:rPr>
        <w:t xml:space="preserve">18.11.2010г. № 4-208 «О системе налогообложения </w:t>
      </w:r>
    </w:p>
    <w:p w:rsidR="00A45F0F" w:rsidRDefault="00A45F0F" w:rsidP="00A45F0F">
      <w:pPr>
        <w:jc w:val="both"/>
        <w:rPr>
          <w:b/>
        </w:rPr>
      </w:pPr>
      <w:r>
        <w:rPr>
          <w:b/>
        </w:rPr>
        <w:t xml:space="preserve">в виде единого налога  на вмененный  доход  </w:t>
      </w:r>
      <w:proofErr w:type="gramStart"/>
      <w:r>
        <w:rPr>
          <w:b/>
        </w:rPr>
        <w:t>для</w:t>
      </w:r>
      <w:proofErr w:type="gramEnd"/>
    </w:p>
    <w:p w:rsidR="00A45F0F" w:rsidRDefault="00A45F0F" w:rsidP="00A45F0F">
      <w:pPr>
        <w:jc w:val="both"/>
        <w:rPr>
          <w:b/>
        </w:rPr>
      </w:pPr>
      <w:proofErr w:type="gramStart"/>
      <w:r>
        <w:rPr>
          <w:b/>
        </w:rPr>
        <w:t xml:space="preserve">отдельных видов  деятельности» (в редакции </w:t>
      </w:r>
      <w:proofErr w:type="gramEnd"/>
    </w:p>
    <w:p w:rsidR="00A45F0F" w:rsidRDefault="00A45F0F" w:rsidP="00A45F0F">
      <w:pPr>
        <w:jc w:val="both"/>
        <w:rPr>
          <w:b/>
        </w:rPr>
      </w:pPr>
      <w:r>
        <w:rPr>
          <w:b/>
        </w:rPr>
        <w:t xml:space="preserve">решений от 13.11.2012г. №4-399, от 25.11.2015г. №5-115)  </w:t>
      </w:r>
    </w:p>
    <w:p w:rsidR="00A45F0F" w:rsidRDefault="00A45F0F" w:rsidP="00A45F0F">
      <w:pPr>
        <w:spacing w:line="360" w:lineRule="auto"/>
        <w:rPr>
          <w:b/>
        </w:rPr>
      </w:pPr>
      <w:r>
        <w:rPr>
          <w:b/>
        </w:rPr>
        <w:t xml:space="preserve"> </w:t>
      </w:r>
    </w:p>
    <w:p w:rsidR="00A45F0F" w:rsidRDefault="00A45F0F" w:rsidP="00A45F0F">
      <w:pPr>
        <w:pStyle w:val="a7"/>
      </w:pPr>
      <w:r>
        <w:t xml:space="preserve">В соответствии со ст. 346.29  Налогового кодекса Российской Федерации и на основании ст. 27 Устава Унечского района </w:t>
      </w:r>
      <w:proofErr w:type="spellStart"/>
      <w:r>
        <w:t>Унечский</w:t>
      </w:r>
      <w:proofErr w:type="spellEnd"/>
      <w:r>
        <w:t xml:space="preserve"> районный Совет народных депутатов </w:t>
      </w:r>
    </w:p>
    <w:p w:rsidR="00A45F0F" w:rsidRDefault="00A45F0F" w:rsidP="00A45F0F">
      <w:pPr>
        <w:pStyle w:val="a5"/>
      </w:pPr>
    </w:p>
    <w:p w:rsidR="00A45F0F" w:rsidRDefault="00A45F0F" w:rsidP="00A45F0F">
      <w:pPr>
        <w:rPr>
          <w:sz w:val="28"/>
        </w:rPr>
      </w:pPr>
      <w:r>
        <w:rPr>
          <w:sz w:val="28"/>
        </w:rPr>
        <w:t>РЕШИЛ:</w:t>
      </w:r>
    </w:p>
    <w:p w:rsidR="00A45F0F" w:rsidRDefault="00A45F0F" w:rsidP="00A45F0F">
      <w:pPr>
        <w:jc w:val="both"/>
        <w:rPr>
          <w:sz w:val="28"/>
        </w:rPr>
      </w:pPr>
      <w:r>
        <w:rPr>
          <w:sz w:val="28"/>
        </w:rPr>
        <w:tab/>
        <w:t xml:space="preserve">1.В  решение Унечского районного Совета народных депутатов от 18.11.2010г. №4-208 </w:t>
      </w:r>
      <w:r>
        <w:rPr>
          <w:sz w:val="28"/>
          <w:szCs w:val="28"/>
        </w:rPr>
        <w:t>«О системе налогообложения в виде единого налога  на вмененный  доход  для отдельных видов  деятельности» (в редакции решений</w:t>
      </w:r>
      <w:r>
        <w:rPr>
          <w:sz w:val="28"/>
        </w:rPr>
        <w:t xml:space="preserve"> от 13.11.2012г. №4-399</w:t>
      </w:r>
      <w:r>
        <w:rPr>
          <w:sz w:val="28"/>
          <w:szCs w:val="28"/>
        </w:rPr>
        <w:t xml:space="preserve">, </w:t>
      </w:r>
      <w:r w:rsidRPr="00A45F0F">
        <w:rPr>
          <w:sz w:val="28"/>
          <w:szCs w:val="28"/>
        </w:rPr>
        <w:t>от 25.11.2015г. №5-115) внести изменения изложив Приложение №1 «Значение</w:t>
      </w:r>
      <w:r>
        <w:rPr>
          <w:sz w:val="28"/>
        </w:rPr>
        <w:t xml:space="preserve"> корректирующего коэффициента базовой доходности К</w:t>
      </w:r>
      <w:proofErr w:type="gramStart"/>
      <w:r>
        <w:rPr>
          <w:sz w:val="28"/>
        </w:rPr>
        <w:t>2</w:t>
      </w:r>
      <w:proofErr w:type="gramEnd"/>
      <w:r>
        <w:rPr>
          <w:sz w:val="28"/>
        </w:rPr>
        <w:t>»,  в  редакции согласно приложению к настоящему решению.</w:t>
      </w:r>
    </w:p>
    <w:p w:rsidR="00A45F0F" w:rsidRPr="00A45F0F" w:rsidRDefault="00A45F0F" w:rsidP="00A45F0F">
      <w:pPr>
        <w:jc w:val="both"/>
        <w:rPr>
          <w:sz w:val="28"/>
          <w:szCs w:val="28"/>
        </w:rPr>
      </w:pPr>
      <w:r>
        <w:rPr>
          <w:sz w:val="28"/>
        </w:rPr>
        <w:tab/>
        <w:t>2.Признать утратившими силу решение Унечского районного Совета народ</w:t>
      </w:r>
      <w:r w:rsidR="00520BF8">
        <w:rPr>
          <w:sz w:val="28"/>
        </w:rPr>
        <w:t>ных депутатов от 25.11.2015г. №5-115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«О внесении изменения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решение Унечского районного Совета народных депутатов от 18.11.2010г. № 4-208 «О системе налогообложения в виде единого налога  на вмененный  доход  для отдельных видов  деятельности» </w:t>
      </w:r>
      <w:r w:rsidRPr="00A45F0F">
        <w:rPr>
          <w:sz w:val="28"/>
          <w:szCs w:val="28"/>
        </w:rPr>
        <w:t>(в редакции решений от 13.11.2012г. №4-399, от 01.11.2013г. №4-503, от 11.11.201</w:t>
      </w:r>
      <w:r w:rsidR="00520BF8">
        <w:rPr>
          <w:sz w:val="28"/>
          <w:szCs w:val="28"/>
        </w:rPr>
        <w:t>4г. №5-23</w:t>
      </w:r>
      <w:r w:rsidRPr="00A45F0F">
        <w:rPr>
          <w:sz w:val="28"/>
          <w:szCs w:val="28"/>
        </w:rPr>
        <w:t>)».</w:t>
      </w:r>
    </w:p>
    <w:p w:rsidR="00A45F0F" w:rsidRDefault="00A45F0F" w:rsidP="00A45F0F">
      <w:pPr>
        <w:jc w:val="both"/>
        <w:rPr>
          <w:sz w:val="28"/>
        </w:rPr>
      </w:pPr>
      <w:r>
        <w:rPr>
          <w:sz w:val="28"/>
        </w:rPr>
        <w:tab/>
        <w:t>3.Решение вступает в силу не ранее чем по истечении одного месяца со дня его официального опубликования и не ранее 1-го числа очередного налогового периода.</w:t>
      </w:r>
    </w:p>
    <w:p w:rsidR="00A45F0F" w:rsidRDefault="00A45F0F" w:rsidP="00A45F0F">
      <w:pPr>
        <w:jc w:val="both"/>
      </w:pPr>
      <w:r>
        <w:rPr>
          <w:sz w:val="28"/>
        </w:rPr>
        <w:tab/>
        <w:t>4.Настоящее решение опубликовать в  газете «</w:t>
      </w:r>
      <w:proofErr w:type="spellStart"/>
      <w:r>
        <w:rPr>
          <w:sz w:val="28"/>
        </w:rPr>
        <w:t>Унечская</w:t>
      </w:r>
      <w:proofErr w:type="spellEnd"/>
      <w:r>
        <w:rPr>
          <w:sz w:val="28"/>
        </w:rPr>
        <w:t xml:space="preserve"> газета»  и разместить  на официальном сайте администрации Унечского района   в сети Интернет.</w:t>
      </w:r>
      <w:r>
        <w:t xml:space="preserve">     </w:t>
      </w:r>
    </w:p>
    <w:p w:rsidR="00A45F0F" w:rsidRDefault="00A45F0F" w:rsidP="00A45F0F">
      <w:pPr>
        <w:jc w:val="both"/>
      </w:pPr>
      <w:r>
        <w:t xml:space="preserve">           </w:t>
      </w:r>
    </w:p>
    <w:p w:rsidR="00A45F0F" w:rsidRDefault="00A45F0F" w:rsidP="00A45F0F">
      <w:pPr>
        <w:jc w:val="both"/>
      </w:pPr>
    </w:p>
    <w:p w:rsidR="00A45F0F" w:rsidRDefault="00A45F0F" w:rsidP="00A45F0F">
      <w:pPr>
        <w:pStyle w:val="1"/>
        <w:ind w:left="1440" w:hanging="1440"/>
      </w:pPr>
    </w:p>
    <w:p w:rsidR="00A45F0F" w:rsidRDefault="00A45F0F" w:rsidP="00A45F0F">
      <w:pPr>
        <w:pStyle w:val="1"/>
        <w:ind w:left="1440" w:hanging="1440"/>
      </w:pPr>
      <w:r>
        <w:t xml:space="preserve">Глава Унечского района                                       </w:t>
      </w:r>
      <w:r>
        <w:tab/>
      </w:r>
      <w:r>
        <w:tab/>
        <w:t xml:space="preserve">                  </w:t>
      </w:r>
      <w:proofErr w:type="spellStart"/>
      <w:r>
        <w:t>Н.Я.Усяков</w:t>
      </w:r>
      <w:proofErr w:type="spellEnd"/>
    </w:p>
    <w:p w:rsidR="002C4F1D" w:rsidRDefault="002C4F1D" w:rsidP="002C4F1D"/>
    <w:p w:rsidR="002C4F1D" w:rsidRDefault="002C4F1D" w:rsidP="002C4F1D"/>
    <w:p w:rsidR="002C4F1D" w:rsidRDefault="002C4F1D" w:rsidP="002C4F1D"/>
    <w:p w:rsidR="002C4F1D" w:rsidRPr="002C4F1D" w:rsidRDefault="002C4F1D" w:rsidP="002C4F1D"/>
    <w:p w:rsidR="00A45F0F" w:rsidRDefault="00A45F0F" w:rsidP="00A45F0F"/>
    <w:p w:rsidR="00A45F0F" w:rsidRDefault="00A45F0F" w:rsidP="00A45F0F">
      <w:pPr>
        <w:ind w:left="5664" w:firstLine="708"/>
        <w:rPr>
          <w:rFonts w:ascii="Arial" w:hAnsi="Arial" w:cs="Arial"/>
          <w:sz w:val="22"/>
        </w:rPr>
      </w:pPr>
      <w:r>
        <w:lastRenderedPageBreak/>
        <w:t xml:space="preserve">Приложение   к решению </w:t>
      </w:r>
    </w:p>
    <w:p w:rsidR="00A45F0F" w:rsidRDefault="00A45F0F" w:rsidP="00A45F0F">
      <w:pPr>
        <w:pStyle w:val="21"/>
        <w:rPr>
          <w:rFonts w:ascii="Arial" w:hAnsi="Arial" w:cs="Arial"/>
          <w:sz w:val="22"/>
        </w:rPr>
      </w:pPr>
      <w:r>
        <w:t xml:space="preserve">Унечского районного Совета народных депутатов </w:t>
      </w:r>
    </w:p>
    <w:p w:rsidR="00A45F0F" w:rsidRDefault="004D26DB" w:rsidP="00A45F0F">
      <w:pPr>
        <w:ind w:left="6372"/>
        <w:rPr>
          <w:rFonts w:ascii="Arial" w:hAnsi="Arial" w:cs="Arial"/>
          <w:sz w:val="22"/>
        </w:rPr>
      </w:pPr>
      <w:r>
        <w:t>О</w:t>
      </w:r>
      <w:r w:rsidR="00767FDF">
        <w:t>т</w:t>
      </w:r>
      <w:r>
        <w:t xml:space="preserve"> 19.10.</w:t>
      </w:r>
      <w:r w:rsidR="00767FDF">
        <w:t>2016г.  №</w:t>
      </w:r>
      <w:r>
        <w:t xml:space="preserve"> 5-167</w:t>
      </w:r>
    </w:p>
    <w:p w:rsidR="00A45F0F" w:rsidRDefault="00A45F0F" w:rsidP="00A45F0F">
      <w:pPr>
        <w:ind w:left="6372"/>
        <w:jc w:val="center"/>
        <w:rPr>
          <w:rFonts w:ascii="Arial" w:hAnsi="Arial" w:cs="Arial"/>
          <w:sz w:val="22"/>
        </w:rPr>
      </w:pPr>
    </w:p>
    <w:p w:rsidR="00A45F0F" w:rsidRDefault="00A45F0F" w:rsidP="00A45F0F">
      <w:pPr>
        <w:jc w:val="center"/>
        <w:rPr>
          <w:rFonts w:ascii="Arial" w:hAnsi="Arial" w:cs="Arial"/>
          <w:b/>
          <w:sz w:val="28"/>
        </w:rPr>
      </w:pPr>
      <w:r>
        <w:rPr>
          <w:b/>
          <w:sz w:val="28"/>
        </w:rPr>
        <w:t xml:space="preserve">Значение </w:t>
      </w:r>
      <w:proofErr w:type="gramStart"/>
      <w:r>
        <w:rPr>
          <w:b/>
          <w:sz w:val="28"/>
        </w:rPr>
        <w:t>корректирующего</w:t>
      </w:r>
      <w:proofErr w:type="gramEnd"/>
    </w:p>
    <w:p w:rsidR="00A45F0F" w:rsidRDefault="00A45F0F" w:rsidP="00A45F0F">
      <w:pPr>
        <w:jc w:val="center"/>
        <w:rPr>
          <w:rFonts w:ascii="Arial" w:hAnsi="Arial" w:cs="Arial"/>
          <w:b/>
          <w:sz w:val="28"/>
        </w:rPr>
      </w:pPr>
      <w:r>
        <w:rPr>
          <w:b/>
          <w:sz w:val="28"/>
        </w:rPr>
        <w:t>коэффициента базовой доходности</w:t>
      </w:r>
      <w:proofErr w:type="gramStart"/>
      <w:r>
        <w:rPr>
          <w:b/>
          <w:sz w:val="28"/>
        </w:rPr>
        <w:t xml:space="preserve"> К</w:t>
      </w:r>
      <w:proofErr w:type="gramEnd"/>
      <w:r>
        <w:rPr>
          <w:b/>
          <w:sz w:val="28"/>
        </w:rPr>
        <w:t xml:space="preserve"> 2</w:t>
      </w:r>
    </w:p>
    <w:p w:rsidR="00A45F0F" w:rsidRDefault="00A45F0F" w:rsidP="00A45F0F">
      <w:pPr>
        <w:rPr>
          <w:rFonts w:ascii="Arial" w:hAnsi="Arial" w:cs="Arial"/>
          <w:b/>
          <w:sz w:val="22"/>
        </w:rPr>
      </w:pPr>
    </w:p>
    <w:tbl>
      <w:tblPr>
        <w:tblW w:w="517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505"/>
        <w:gridCol w:w="1940"/>
        <w:gridCol w:w="1342"/>
        <w:gridCol w:w="1126"/>
      </w:tblGrid>
      <w:tr w:rsidR="00A45F0F" w:rsidTr="00A45F0F">
        <w:trPr>
          <w:cantSplit/>
        </w:trPr>
        <w:tc>
          <w:tcPr>
            <w:tcW w:w="2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видов предпринимательской деятельности, подлежащих переводу на единый налог на вмененный доход</w:t>
            </w:r>
          </w:p>
        </w:tc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Место осуществления деятельности</w:t>
            </w:r>
          </w:p>
        </w:tc>
      </w:tr>
      <w:tr w:rsidR="00A45F0F" w:rsidTr="00A45F0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0F" w:rsidRDefault="00A45F0F">
            <w:pPr>
              <w:rPr>
                <w:b/>
                <w:lang w:eastAsia="en-US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Группа 1 и объекты, расположенные вдоль </w:t>
            </w:r>
            <w:proofErr w:type="spellStart"/>
            <w:proofErr w:type="gramStart"/>
            <w:r>
              <w:rPr>
                <w:b/>
                <w:lang w:eastAsia="en-US"/>
              </w:rPr>
              <w:t>автомо-бильных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дорог вне </w:t>
            </w:r>
            <w:proofErr w:type="spellStart"/>
            <w:r>
              <w:rPr>
                <w:b/>
                <w:lang w:eastAsia="en-US"/>
              </w:rPr>
              <w:t>населен-ных</w:t>
            </w:r>
            <w:proofErr w:type="spellEnd"/>
            <w:r>
              <w:rPr>
                <w:b/>
                <w:lang w:eastAsia="en-US"/>
              </w:rPr>
              <w:t xml:space="preserve"> пунктов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Группа 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ind w:left="-108" w:firstLine="1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Группа 3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</w:t>
            </w:r>
            <w:r>
              <w:rPr>
                <w:b/>
                <w:lang w:eastAsia="en-US"/>
              </w:rPr>
              <w:t>Оказание  бытовых услуг, их групп, подгрупп, видов и (или) отдельных бытовых услуг, классифицируемых в соответствии с Общероссийским классификатором видов экономической деятельности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1.1.Ремонт электронной бытовой техники, ремонт бытовых приборов, домашнего и садового инвентаря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95.21, 95.22)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0,670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0,222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0,113</w:t>
            </w:r>
          </w:p>
        </w:tc>
      </w:tr>
      <w:tr w:rsidR="00A45F0F" w:rsidTr="00767FDF">
        <w:trPr>
          <w:trHeight w:val="359"/>
        </w:trPr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1.2.Ремонт обуви и прочих изделий из кожи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95.23)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0,338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0,056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1.3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  <w:r>
              <w:rPr>
                <w:bCs/>
                <w:lang w:eastAsia="en-US"/>
              </w:rPr>
              <w:t>Ремонт мебели и предметов домашнего обихода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95.24)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0,670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0,22</w:t>
            </w:r>
            <w:r w:rsidR="005B0238">
              <w:rPr>
                <w:bCs/>
                <w:lang w:eastAsia="en-US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0,113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1.4.Ремонт часов и   ювелирных изделий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95.25)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0,338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0,056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1.5.Ремонт прочих предметов личного потребления и бытовых товаров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95.29)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0,447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0,056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1.6.Стирка и химическая чистка текстильных и меховых изделий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96.01)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0,447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0,056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1.7.Предоставление услуг парикмахерскими и салонами красоты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96.02)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9E715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0,572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0,235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0,120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1.8.Организация похорон и предоставление </w:t>
            </w:r>
            <w:r>
              <w:rPr>
                <w:bCs/>
                <w:lang w:eastAsia="en-US"/>
              </w:rPr>
              <w:lastRenderedPageBreak/>
              <w:t>связанных с ними услуг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96.03)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0,572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0,235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0,120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1.9.Деятельность физкультурно-оздоровительная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96.04)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0,670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0,222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0,113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1.10.Предоставление прочих персональных услуг, не включенных в другие группировки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96.09)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0,476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0,120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</w:t>
            </w:r>
            <w:r w:rsidR="00AA5133">
              <w:rPr>
                <w:bCs/>
                <w:lang w:eastAsia="en-US"/>
              </w:rPr>
              <w:t>0</w:t>
            </w:r>
            <w:r>
              <w:rPr>
                <w:bCs/>
                <w:lang w:eastAsia="en-US"/>
              </w:rPr>
              <w:t>59</w:t>
            </w:r>
          </w:p>
        </w:tc>
      </w:tr>
      <w:tr w:rsidR="00A45F0F" w:rsidTr="00767FDF">
        <w:trPr>
          <w:trHeight w:val="328"/>
        </w:trPr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2.Оказание ветеринарных услуг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0,338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0,056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3.Оказание услуг по ремонту, техническому обслуживанию  и мойке автотранспортных средств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0,950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0,235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0,120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4.Оказание услуг по предоставлению во временное владение (в пользование) мест для стоянки автотранспортных средств, а также  по  хранению автотранспортных средств на платных стоянках (за исключением штрафных автостоянок)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0,986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0,615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0,494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5.Оказание автотранспортных услуг по перевозке 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5.1.Оказание автотранспортных услуг по перевозке грузов, осуществляемых организациями и предпринимателями, с использованием транспортных сре</w:t>
            </w:r>
            <w:proofErr w:type="gramStart"/>
            <w:r>
              <w:rPr>
                <w:bCs/>
                <w:lang w:eastAsia="en-US"/>
              </w:rPr>
              <w:t>дств гр</w:t>
            </w:r>
            <w:proofErr w:type="gramEnd"/>
            <w:r>
              <w:rPr>
                <w:bCs/>
                <w:lang w:eastAsia="en-US"/>
              </w:rPr>
              <w:t>узоподъемностью до 3 тонн включительно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0,963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0,963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0,963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5.2.Оказание автотранспортных услуг по перевозке грузов, осуществляемых организациями и предпринимателями, с использованием грузовых автомобилей грузоподъемностью свыше 3 тонн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0,994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0,994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0,994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5.3.Оказание автотранспортных услуг по перевозке пассажиров, осуществляемых организациями и предпринимателями, с использованием автобусов вне маршрута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0,893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0,893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0,893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 xml:space="preserve"> 5.4.Оказание автотранспортных услуг по перевозке пассажиров, осуществляемых </w:t>
            </w:r>
            <w:r>
              <w:rPr>
                <w:bCs/>
                <w:lang w:eastAsia="en-US"/>
              </w:rPr>
              <w:lastRenderedPageBreak/>
              <w:t>организациями и предпринимателями, с использованием автобусов до 15  посадочных ме</w:t>
            </w:r>
            <w:proofErr w:type="gramStart"/>
            <w:r>
              <w:rPr>
                <w:bCs/>
                <w:lang w:eastAsia="en-US"/>
              </w:rPr>
              <w:t>ст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вкл</w:t>
            </w:r>
            <w:proofErr w:type="gramEnd"/>
            <w:r>
              <w:rPr>
                <w:bCs/>
                <w:lang w:eastAsia="en-US"/>
              </w:rPr>
              <w:t>ючительно на городских маршрутах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0,670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0,670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0,670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u w:val="single"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 5.5.Оказание автотранспортных услуг по перевозке пассажиров, осуществляемых организациями и предпринимателями, с использованием автобусов свыше 15 посадочных мест  на городских маршрутах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0,893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0,893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0,893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5.6.Оказание автотранспортных услуг по перевозке пассажиров, осуществляемых организациями и предпринимателями, с использованием </w:t>
            </w:r>
            <w:r>
              <w:rPr>
                <w:lang w:eastAsia="en-US"/>
              </w:rPr>
              <w:t xml:space="preserve">  </w:t>
            </w:r>
            <w:r>
              <w:rPr>
                <w:bCs/>
                <w:lang w:eastAsia="en-US"/>
              </w:rPr>
              <w:t>легковых автомобилей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0,543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0,401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0,401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szCs w:val="22"/>
                <w:lang w:eastAsia="en-US"/>
              </w:rPr>
              <w:t xml:space="preserve">6.Розничная торговля, осуществляемая через  магазины и павильоны с площадью торгового зала не более 150 квадратных метров по каждому объекту организации торговли </w:t>
            </w:r>
          </w:p>
        </w:tc>
      </w:tr>
      <w:tr w:rsidR="00A45F0F" w:rsidTr="00767FDF">
        <w:trPr>
          <w:trHeight w:val="528"/>
        </w:trPr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6.1.Розничная торговля, осуществляемая через  объекты стационарной торговой сети, имеющие торговые  залы не более 150 кв. м.  (с продажей винно-водочных изделий, пива, кожаных, меховых, ювелирных изделий, технически сложных товаров и мебели)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0,622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0,095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0,047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6.2.Розничная торговля, осуществляемая через  объекты стационарной торговой сети, имеющие торговые  залы не более 150 кв. м (без  продажи вино – водочных изделий, пива,  кожаных, меховых, ювелирных изделий, технически сложных товаров и мебели)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0,498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0,095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0,047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 xml:space="preserve">6.3.Розничная торговля, осуществляемая через объекты стационарной сети с площадью торгового зала не более 150 квадратных метров, при реализации книжной продукции, связанной с образованием, наукой и культурой, а также продукции полиграфической промышленности, реализации продуктов детского питания, если объем реализации данной продукции в общем объеме товарооборота превышает 50%  по каждому месту осуществления </w:t>
            </w:r>
            <w:r>
              <w:rPr>
                <w:bCs/>
                <w:lang w:eastAsia="en-US"/>
              </w:rPr>
              <w:lastRenderedPageBreak/>
              <w:t>предпринимательской деятельности</w:t>
            </w:r>
            <w:proofErr w:type="gramEnd"/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0,344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0,095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0,047</w:t>
            </w:r>
          </w:p>
        </w:tc>
      </w:tr>
      <w:tr w:rsidR="00A45F0F" w:rsidTr="00A45F0F">
        <w:trPr>
          <w:trHeight w:val="43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7. </w:t>
            </w:r>
            <w:r>
              <w:rPr>
                <w:b/>
                <w:szCs w:val="22"/>
                <w:lang w:eastAsia="en-US"/>
              </w:rPr>
              <w:t>Розничная торговля, осуществляемая через  объекты стационарной  торговой сети, не имеющей торговых залов, а также объекты нестационарной  торговой сети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 xml:space="preserve">7.1.Розничная торговля, осуществляемая через  объекты стационарной торговой сети, не имеющие торговых  залов, а также через объекты  </w:t>
            </w:r>
            <w:r>
              <w:rPr>
                <w:bCs/>
                <w:szCs w:val="22"/>
                <w:lang w:eastAsia="en-US"/>
              </w:rPr>
              <w:t>нестационарной  торговой сети, площадь торгового места в которых не превышает 5 квадратных метров</w:t>
            </w:r>
            <w:r>
              <w:rPr>
                <w:bCs/>
                <w:lang w:eastAsia="en-US"/>
              </w:rPr>
              <w:t xml:space="preserve"> по каждому объекту  организации торговли  (с продажей  пива, кожаных, меховых, ювелирных изделий, технически сложных товаров и мебели) </w:t>
            </w:r>
            <w:proofErr w:type="gramEnd"/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0,501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0,131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0,064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 xml:space="preserve">7.2.Розничная торговля, осуществляемая через  объекты стационарной торговой сети, не имеющие торговых  залов, а также через объекты  </w:t>
            </w:r>
            <w:r>
              <w:rPr>
                <w:bCs/>
                <w:szCs w:val="22"/>
                <w:lang w:eastAsia="en-US"/>
              </w:rPr>
              <w:t>нестационарной  торговой сети, площадь торгового места в которых не превышает 5 квадратных метров</w:t>
            </w:r>
            <w:r>
              <w:rPr>
                <w:bCs/>
                <w:lang w:eastAsia="en-US"/>
              </w:rPr>
              <w:t xml:space="preserve"> по каждому объекту  организации торговли  (без продажи пива, кожаных, меховых, ювелирных изделий, технически сложных товаров и мебели) </w:t>
            </w:r>
            <w:proofErr w:type="gramEnd"/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0,262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3548CD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0,131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0,064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7.3.Розничная торговля, осуществляемая через   объекты стационарной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торговой сети, не имеющей торговых  залов, а также через  объекты  нестационарной торговой  сети, при реализации книжной продукции, связанной с образованием, наукой и культурой, а также продукции полиграфической промышленности, реализации продуктов детского питания, если объем реализации данной продукции в общем объеме товарооборота превышает 50%  по каждому месту осуществления предпринимательской деятельности, площадь  торгового места которых</w:t>
            </w:r>
            <w:proofErr w:type="gramEnd"/>
            <w:r>
              <w:rPr>
                <w:bCs/>
                <w:lang w:eastAsia="en-US"/>
              </w:rPr>
              <w:t xml:space="preserve"> не  превышает 5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0,123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ind w:left="-127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0,060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7.4.Розничная торговля, осуществляемая через объекты стационарной торговой сети, не имеющей торговых  залов, а также</w:t>
            </w:r>
            <w:r>
              <w:rPr>
                <w:b/>
                <w:lang w:eastAsia="en-US"/>
              </w:rPr>
              <w:t xml:space="preserve">  </w:t>
            </w:r>
            <w:r>
              <w:rPr>
                <w:bCs/>
                <w:lang w:eastAsia="en-US"/>
              </w:rPr>
              <w:t>через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объекты </w:t>
            </w:r>
            <w:r>
              <w:rPr>
                <w:bCs/>
                <w:lang w:eastAsia="en-US"/>
              </w:rPr>
              <w:lastRenderedPageBreak/>
              <w:t>нестационарной  торговой сети     (с продажей винно-водочных изделий, пива, кожаных, меховых, ювелирных изделий, технически сложных товаров и мебели) площадь  торгового места в которых превышает 5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0,600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0,131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ind w:left="-127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0,064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7.5.Розничная торговля, осуществляемая через  объекты стационарной торговой сети, не имеющей торговых  залов, а также через объекты нестационарной торговой сети (без  продажи вино – водочных изделий, пива,  кожаных, меховых, ювелирных изделий, технически сложных товаров и мебели) площадь торгового места в которых превышает 5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0,312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0,131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0,064</w:t>
            </w:r>
          </w:p>
        </w:tc>
      </w:tr>
      <w:tr w:rsidR="00CA114D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14D" w:rsidRPr="00145159" w:rsidRDefault="00CA114D" w:rsidP="00CA114D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>7.6.Разносная (развозная) торговля (за исключением торговли подакцизными товарами, лекарственными препаратами, изделиями из драгоценных камней, оружием и патронами к нему, меховыми изделиями и технически сложными товарами бытового назначения)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14D" w:rsidRDefault="00F14D66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0,458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14D" w:rsidRDefault="00F14D66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0,192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14D" w:rsidRDefault="00F14D66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0,096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8.Оказание услуг общественного питания, осуществляемых  через объекты организации  общественного  питания с площадью зала обслуживания посетителей не более 150 квадратных метров по каждому объекту организации общественного питания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8.1.Оказание услуг общественного питания, осуществляемых с использованием легко возводимых сборно-разборных конструкций (площадь зала обслуживания посетителей, с учетом площади открытой площадки не более 70 кв.м.)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0,560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0,123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0,060</w:t>
            </w:r>
          </w:p>
        </w:tc>
      </w:tr>
      <w:tr w:rsidR="00A45F0F" w:rsidTr="00767FDF">
        <w:trPr>
          <w:trHeight w:val="170"/>
        </w:trPr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8.2.Оказание услуг общественного питания, осуществляемых с  использованием легко возводимых сборно-разборных конструкций (площадь зала обслуживания посетителей, с учетом площади открытой площадки свыше  70 кв.м. до 150 кв. м. включительно)                                                                 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0,467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0,123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0,060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Pr="00145159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 xml:space="preserve">8.3.Оказание услуг общественного питания с продажей винно-водочных изделий, пива (площадь зала обслуживания посетителей до 150 кв. м. </w:t>
            </w:r>
            <w:r w:rsidRPr="00145159">
              <w:rPr>
                <w:bCs/>
                <w:lang w:eastAsia="en-US"/>
              </w:rPr>
              <w:lastRenderedPageBreak/>
              <w:t xml:space="preserve">включительно)                                              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145159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lastRenderedPageBreak/>
              <w:t>0,695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145159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>0,092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145159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>0,046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Pr="00145159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lastRenderedPageBreak/>
              <w:t xml:space="preserve">8.4.Оказание услуг общественного питания без  продажи винно-водочных изделий, пива (площадь зала обслуживания посетителей не более 70кв.м.)                                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145159" w:rsidRDefault="005A3C2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145159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>0,030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145159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>0,015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Pr="00145159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 xml:space="preserve">8.5.Оказание услуг общественного питания без продажи винно-водочных изделий, пива (площадь зала обслуживания посетителей свыше 70кв.м. до 150 кв. м. включительно)  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145159" w:rsidRDefault="005A3C2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0,065</w:t>
            </w:r>
            <w:bookmarkStart w:id="0" w:name="_GoBack"/>
            <w:bookmarkEnd w:id="0"/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145159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>0,028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145159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>0,014</w:t>
            </w:r>
          </w:p>
        </w:tc>
      </w:tr>
      <w:tr w:rsidR="00A45F0F" w:rsidTr="00A45F0F">
        <w:trPr>
          <w:trHeight w:val="45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9.Оказание услуг общественного питания, осуществляемых  через объекты организации общественного питания, не имеющие зала обслуживания посетителей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9.1.Оказание услуг общественного питания  через объект организации общественного питания, не имеющий зала обслуживания посетителей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0,999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0,340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0,168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10. Распространение   наружной рекламы с использованием рекламных конструкций 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10.1.Распространение  наружной рекламы с использованием рекламных конструкций (за исключением  рекламных конструкций  с автоматической сменой изображения и электронных табло)  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0,143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0,143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11.Размещение  рекламы с использованием внешних и внутренних поверхностей  транспортных средств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11.1.Размещение  рекламы с использованием внешних и внутренних поверхностей  транспортных средств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0,143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0,143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0,143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12.Оказание услуг по 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12.1.Оказание услуг по  временному размещению и проживанию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0,670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0,222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0,113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13.Оказание услуг по передаче во временное владение  и (или) в пользование торговых мест, расположенных в объектах стационарной торговой сети, не имеющих торговых залов, объектов  нестационарной  торговой сети, а также  объектов организации общественного  питания,  не имеющих зала обслуживания посетителей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13.1.Оказание услуг по передаче во временное владение  и (или) в пользование торговых мест, </w:t>
            </w:r>
            <w:r>
              <w:rPr>
                <w:bCs/>
                <w:lang w:eastAsia="en-US"/>
              </w:rPr>
              <w:lastRenderedPageBreak/>
              <w:t>расположенных в объектах стационарной торговой сети, не имеющих торговых залов, объектов  нестационарной  торговой сети, а также  объектов организации общественного  питания,  не имеющих залов обслуживания посетителей, если площадь каждого из них не превышает 5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0,153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0,153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0,153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13.2.Оказание услуг по передаче </w:t>
            </w:r>
            <w:proofErr w:type="gramStart"/>
            <w:r>
              <w:rPr>
                <w:bCs/>
                <w:lang w:eastAsia="en-US"/>
              </w:rPr>
              <w:t>во</w:t>
            </w:r>
            <w:proofErr w:type="gramEnd"/>
            <w:r>
              <w:rPr>
                <w:bCs/>
                <w:lang w:eastAsia="en-US"/>
              </w:rPr>
              <w:t xml:space="preserve"> временное </w:t>
            </w:r>
          </w:p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владение  и (или) в пользование торговых мест, расположенных в объектах стационарной торговой сети, не имеющих торговых залов, объектов  нестационарной  торговой сети, а также  объектов организации общественного  питания,  не имеющих залов обслуживания посетителей, если площадь каждого из них  превышает 5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0,153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0,153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14. Оказание услуг по передаче во временное владение  и (или) в пользование земельных участков для размещения объектов стационарной  и нестационарной торговой сети, а также  объектов организации общественного питания 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14.1.Оказание услуг по передаче во временное владение  и (или) в пользование земельных участков для размещения объектов стационарной  и нестационарной торговой сети, а также  объектов организации общественного питания, если площадь земельного участка не  превышает 10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0,383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0,274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0,198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14.2.Оказание услуг по передаче во временное владение  и (или) в пользование земельных участков для размещения объектов стационарной  и нестационарной торговой сети, а также  объектов организации общественного питания, если площадь земельного участка   превышает 10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0,383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0,274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0,198</w:t>
            </w:r>
          </w:p>
        </w:tc>
      </w:tr>
    </w:tbl>
    <w:p w:rsidR="00A45F0F" w:rsidRDefault="00A45F0F" w:rsidP="00A45F0F">
      <w:pPr>
        <w:pStyle w:val="3"/>
        <w:spacing w:line="240" w:lineRule="auto"/>
        <w:ind w:firstLine="708"/>
        <w:rPr>
          <w:sz w:val="28"/>
        </w:rPr>
      </w:pPr>
    </w:p>
    <w:p w:rsidR="00A45F0F" w:rsidRDefault="00A45F0F" w:rsidP="00A45F0F">
      <w:pPr>
        <w:jc w:val="both"/>
        <w:rPr>
          <w:rFonts w:ascii="Arial" w:hAnsi="Arial" w:cs="Arial"/>
          <w:sz w:val="22"/>
        </w:rPr>
      </w:pPr>
      <w:proofErr w:type="spellStart"/>
      <w:r>
        <w:rPr>
          <w:sz w:val="28"/>
          <w:szCs w:val="32"/>
        </w:rPr>
        <w:t>С</w:t>
      </w:r>
      <w:r>
        <w:rPr>
          <w:sz w:val="28"/>
        </w:rPr>
        <w:t>правочно</w:t>
      </w:r>
      <w:proofErr w:type="spellEnd"/>
      <w:r>
        <w:rPr>
          <w:sz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08"/>
        <w:gridCol w:w="6762"/>
      </w:tblGrid>
      <w:tr w:rsidR="00A45F0F" w:rsidTr="00A45F0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center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Группа населенных пунктов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center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Наименование населенных пунктов</w:t>
            </w:r>
          </w:p>
        </w:tc>
      </w:tr>
      <w:tr w:rsidR="00A45F0F" w:rsidTr="00A45F0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Группа 1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Г. Унеча, и объекты, расположенные вдоль автомобильных дорог вне населенных пунктов</w:t>
            </w:r>
          </w:p>
        </w:tc>
      </w:tr>
      <w:tr w:rsidR="00A45F0F" w:rsidTr="00A45F0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Группа 2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Д.Березина, д. </w:t>
            </w:r>
            <w:proofErr w:type="spellStart"/>
            <w:r>
              <w:rPr>
                <w:bCs/>
                <w:lang w:eastAsia="en-US"/>
              </w:rPr>
              <w:t>Шулаковка</w:t>
            </w:r>
            <w:proofErr w:type="spellEnd"/>
            <w:r>
              <w:rPr>
                <w:bCs/>
                <w:lang w:eastAsia="en-US"/>
              </w:rPr>
              <w:t xml:space="preserve">,  д. </w:t>
            </w:r>
            <w:proofErr w:type="spellStart"/>
            <w:r>
              <w:rPr>
                <w:bCs/>
                <w:lang w:eastAsia="en-US"/>
              </w:rPr>
              <w:t>Брянкустичи</w:t>
            </w:r>
            <w:proofErr w:type="spellEnd"/>
            <w:r>
              <w:rPr>
                <w:bCs/>
                <w:lang w:eastAsia="en-US"/>
              </w:rPr>
              <w:t>, с</w:t>
            </w:r>
            <w:proofErr w:type="gramStart"/>
            <w:r>
              <w:rPr>
                <w:bCs/>
                <w:lang w:eastAsia="en-US"/>
              </w:rPr>
              <w:t>.В</w:t>
            </w:r>
            <w:proofErr w:type="gramEnd"/>
            <w:r>
              <w:rPr>
                <w:bCs/>
                <w:lang w:eastAsia="en-US"/>
              </w:rPr>
              <w:t xml:space="preserve">ысокое, с. </w:t>
            </w:r>
            <w:proofErr w:type="spellStart"/>
            <w:r>
              <w:rPr>
                <w:bCs/>
                <w:lang w:eastAsia="en-US"/>
              </w:rPr>
              <w:t>Рохманово</w:t>
            </w:r>
            <w:proofErr w:type="spellEnd"/>
            <w:r>
              <w:rPr>
                <w:bCs/>
                <w:lang w:eastAsia="en-US"/>
              </w:rPr>
              <w:t xml:space="preserve">, д. Новое </w:t>
            </w:r>
            <w:proofErr w:type="spellStart"/>
            <w:r>
              <w:rPr>
                <w:bCs/>
                <w:lang w:eastAsia="en-US"/>
              </w:rPr>
              <w:t>Задубенье</w:t>
            </w:r>
            <w:proofErr w:type="spellEnd"/>
            <w:r>
              <w:rPr>
                <w:bCs/>
                <w:lang w:eastAsia="en-US"/>
              </w:rPr>
              <w:t xml:space="preserve">, д. Новые Ивайтенки, с. </w:t>
            </w:r>
            <w:proofErr w:type="spellStart"/>
            <w:r>
              <w:rPr>
                <w:bCs/>
                <w:lang w:eastAsia="en-US"/>
              </w:rPr>
              <w:t>Красновичи</w:t>
            </w:r>
            <w:proofErr w:type="spellEnd"/>
            <w:r>
              <w:rPr>
                <w:bCs/>
                <w:lang w:eastAsia="en-US"/>
              </w:rPr>
              <w:t xml:space="preserve">, с. </w:t>
            </w:r>
            <w:proofErr w:type="spellStart"/>
            <w:r>
              <w:rPr>
                <w:bCs/>
                <w:lang w:eastAsia="en-US"/>
              </w:rPr>
              <w:t>Лизогубовка</w:t>
            </w:r>
            <w:proofErr w:type="spellEnd"/>
            <w:r>
              <w:rPr>
                <w:bCs/>
                <w:lang w:eastAsia="en-US"/>
              </w:rPr>
              <w:t xml:space="preserve">, с. </w:t>
            </w:r>
            <w:proofErr w:type="spellStart"/>
            <w:r>
              <w:rPr>
                <w:bCs/>
                <w:lang w:eastAsia="en-US"/>
              </w:rPr>
              <w:t>Лыщичи</w:t>
            </w:r>
            <w:proofErr w:type="spellEnd"/>
            <w:r>
              <w:rPr>
                <w:bCs/>
                <w:lang w:eastAsia="en-US"/>
              </w:rPr>
              <w:t xml:space="preserve">, </w:t>
            </w:r>
            <w:proofErr w:type="spellStart"/>
            <w:r>
              <w:rPr>
                <w:bCs/>
                <w:lang w:eastAsia="en-US"/>
              </w:rPr>
              <w:t>с.Найтоповичи</w:t>
            </w:r>
            <w:proofErr w:type="spellEnd"/>
            <w:r>
              <w:rPr>
                <w:bCs/>
                <w:lang w:eastAsia="en-US"/>
              </w:rPr>
              <w:t xml:space="preserve">, д. Песчанка, с. Павловка, с.Писаревка, п. </w:t>
            </w:r>
            <w:proofErr w:type="spellStart"/>
            <w:r>
              <w:rPr>
                <w:bCs/>
                <w:lang w:eastAsia="en-US"/>
              </w:rPr>
              <w:t>Рассуха</w:t>
            </w:r>
            <w:proofErr w:type="spellEnd"/>
            <w:r>
              <w:rPr>
                <w:bCs/>
                <w:lang w:eastAsia="en-US"/>
              </w:rPr>
              <w:t xml:space="preserve">, с. </w:t>
            </w:r>
            <w:proofErr w:type="spellStart"/>
            <w:r>
              <w:rPr>
                <w:bCs/>
                <w:lang w:eastAsia="en-US"/>
              </w:rPr>
              <w:t>Рюхов</w:t>
            </w:r>
            <w:proofErr w:type="spellEnd"/>
            <w:r>
              <w:rPr>
                <w:bCs/>
                <w:lang w:eastAsia="en-US"/>
              </w:rPr>
              <w:t xml:space="preserve">, с. </w:t>
            </w:r>
            <w:proofErr w:type="spellStart"/>
            <w:r>
              <w:rPr>
                <w:bCs/>
                <w:lang w:eastAsia="en-US"/>
              </w:rPr>
              <w:t>Робчик</w:t>
            </w:r>
            <w:proofErr w:type="spellEnd"/>
            <w:r>
              <w:rPr>
                <w:bCs/>
                <w:lang w:eastAsia="en-US"/>
              </w:rPr>
              <w:t xml:space="preserve">, с. </w:t>
            </w:r>
            <w:proofErr w:type="spellStart"/>
            <w:r>
              <w:rPr>
                <w:bCs/>
                <w:lang w:eastAsia="en-US"/>
              </w:rPr>
              <w:t>Староселье</w:t>
            </w:r>
            <w:proofErr w:type="spellEnd"/>
            <w:r>
              <w:rPr>
                <w:bCs/>
                <w:lang w:eastAsia="en-US"/>
              </w:rPr>
              <w:t xml:space="preserve">, ст. </w:t>
            </w:r>
            <w:proofErr w:type="spellStart"/>
            <w:r>
              <w:rPr>
                <w:bCs/>
                <w:lang w:eastAsia="en-US"/>
              </w:rPr>
              <w:t>Жудилово</w:t>
            </w:r>
            <w:proofErr w:type="spellEnd"/>
            <w:r>
              <w:rPr>
                <w:bCs/>
                <w:lang w:eastAsia="en-US"/>
              </w:rPr>
              <w:t>, с. Старая Гута</w:t>
            </w:r>
          </w:p>
        </w:tc>
      </w:tr>
      <w:tr w:rsidR="00A45F0F" w:rsidTr="00A45F0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Группа 3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Прочие населенные пункты Унечского района</w:t>
            </w:r>
          </w:p>
        </w:tc>
      </w:tr>
    </w:tbl>
    <w:p w:rsidR="00A45F0F" w:rsidRDefault="00A45F0F" w:rsidP="00A45F0F">
      <w:pPr>
        <w:pStyle w:val="3"/>
        <w:spacing w:line="240" w:lineRule="auto"/>
        <w:ind w:firstLine="708"/>
        <w:rPr>
          <w:sz w:val="28"/>
        </w:rPr>
      </w:pPr>
    </w:p>
    <w:p w:rsidR="00A45F0F" w:rsidRDefault="00A45F0F" w:rsidP="00A45F0F">
      <w:pPr>
        <w:pStyle w:val="3"/>
        <w:spacing w:line="240" w:lineRule="auto"/>
        <w:ind w:firstLine="708"/>
        <w:rPr>
          <w:sz w:val="28"/>
        </w:rPr>
      </w:pPr>
      <w:r>
        <w:rPr>
          <w:sz w:val="28"/>
        </w:rPr>
        <w:t>При осуществлении одним работником  или индивидуальным предпринимателем нескольких видов бытовых услуг налогоплательщик  для расчета суммы единого налога на  вмененный доход применяет наивысший коэффициент, принятый для  подгрупп бытовых услуг, указанных в настоящем приложении, с учетом группы, к которой относится населенный пункт, в котором осуществляется деятельность.</w:t>
      </w:r>
    </w:p>
    <w:p w:rsidR="00A45F0F" w:rsidRDefault="00A45F0F" w:rsidP="00A45F0F">
      <w:pPr>
        <w:pStyle w:val="3"/>
        <w:spacing w:line="240" w:lineRule="auto"/>
        <w:ind w:firstLine="708"/>
        <w:rPr>
          <w:sz w:val="28"/>
        </w:rPr>
      </w:pPr>
    </w:p>
    <w:p w:rsidR="00A45F0F" w:rsidRDefault="00A45F0F" w:rsidP="00A45F0F">
      <w:pPr>
        <w:jc w:val="both"/>
        <w:rPr>
          <w:rFonts w:ascii="Arial" w:hAnsi="Arial" w:cs="Arial"/>
          <w:b/>
          <w:sz w:val="28"/>
        </w:rPr>
      </w:pPr>
      <w:r>
        <w:rPr>
          <w:b/>
          <w:sz w:val="28"/>
        </w:rPr>
        <w:t xml:space="preserve">Примечание. 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>Для целей настоящего Решения к технически сложным товарам  бытового назначения относятся товары, особенности продажи, которых установлены Постановлением Правительства Российской Федерации от 19.01.1998 года №55 «Об утверждении Правил продажи отдельных видов товаров, перечня товаров длительного пользования, на которые не распространяется требование покупателя о безвозмездном предоставлении ему на период ремонта или замены аналогичного товара, и перечня непродовольственных товаров надлежащего качества, не подлежащих</w:t>
      </w:r>
      <w:proofErr w:type="gramEnd"/>
      <w:r>
        <w:rPr>
          <w:sz w:val="28"/>
        </w:rPr>
        <w:t xml:space="preserve"> возврату или обмену на аналогичный товар других размера, формы, габарита, фасона, расцветки или комплектации».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2. К кожаным изделиям относятся: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-пальто, полупальто мужские, женские, детские;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-пиджаки мужские, женские, детские;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-юбки, брюки, плащи, дубленки;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-головные уборы  мужские, женские, детские.</w:t>
      </w:r>
    </w:p>
    <w:p w:rsidR="00A45F0F" w:rsidRDefault="00A45F0F" w:rsidP="00A45F0F">
      <w:pPr>
        <w:jc w:val="both"/>
        <w:rPr>
          <w:sz w:val="28"/>
        </w:rPr>
      </w:pPr>
      <w:r>
        <w:rPr>
          <w:sz w:val="28"/>
        </w:rPr>
        <w:t>3. К книжной продукции, связанной с образованием, наукой и культурой, относится продукция: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-книги  и брошюры;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-издания репродукционные, нотные;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-альбомы по искусству;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-альбомы, атласы;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-нотные издания;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-календари (кроме календарей книжного типа), настенные отрывные ежедневные;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 xml:space="preserve">-издания для слепых, а также продукция полиграфической промышленности, </w:t>
      </w:r>
      <w:proofErr w:type="gramStart"/>
      <w:r>
        <w:rPr>
          <w:sz w:val="28"/>
        </w:rPr>
        <w:t>-г</w:t>
      </w:r>
      <w:proofErr w:type="gramEnd"/>
      <w:r>
        <w:rPr>
          <w:sz w:val="28"/>
        </w:rPr>
        <w:t>азеты;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-периодические  и продолжающиеся издания  (журналы, сборники/бюллетени).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lastRenderedPageBreak/>
        <w:t>4. К продуктам детского питания относятся: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-специализированные продукты для питания детей раннего возраста на молочной основе;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-продукты прикорма на зерновой, плодоовощной, рыбной, мясной основе;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-консервы плодоовощные, в том числе гомогенизированные и стерилизованные, для  детского питания.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5. К предметам  похоронного ритуала относятся: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-гробы (в том числе  цинковые);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-траурные венки, искусственные цветки, гирлянды.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6. К похоронным принадлежностям относятся: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-подставки для гроба;</w:t>
      </w:r>
    </w:p>
    <w:p w:rsidR="00A45F0F" w:rsidRDefault="00A45F0F" w:rsidP="00A45F0F">
      <w:pPr>
        <w:jc w:val="both"/>
        <w:rPr>
          <w:sz w:val="28"/>
        </w:rPr>
      </w:pPr>
      <w:r>
        <w:rPr>
          <w:sz w:val="28"/>
        </w:rPr>
        <w:t>-покрывала для гроба, траурные нарукавные повязки, траурные ленты, подушечки для наград.</w:t>
      </w:r>
    </w:p>
    <w:p w:rsidR="00A45F0F" w:rsidRDefault="00A45F0F" w:rsidP="00A45F0F"/>
    <w:p w:rsidR="00955716" w:rsidRDefault="00955716"/>
    <w:sectPr w:rsidR="00955716" w:rsidSect="00A45F0F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45F0F"/>
    <w:rsid w:val="00145159"/>
    <w:rsid w:val="002C4F1D"/>
    <w:rsid w:val="003548CD"/>
    <w:rsid w:val="00495E00"/>
    <w:rsid w:val="004D26DB"/>
    <w:rsid w:val="00520BF8"/>
    <w:rsid w:val="005A3C2F"/>
    <w:rsid w:val="005B0238"/>
    <w:rsid w:val="006B6894"/>
    <w:rsid w:val="00767FDF"/>
    <w:rsid w:val="007B6611"/>
    <w:rsid w:val="008C035F"/>
    <w:rsid w:val="00955716"/>
    <w:rsid w:val="009B44A5"/>
    <w:rsid w:val="009E715F"/>
    <w:rsid w:val="00A45F0F"/>
    <w:rsid w:val="00AA5133"/>
    <w:rsid w:val="00AB355F"/>
    <w:rsid w:val="00CA114D"/>
    <w:rsid w:val="00DE1FAC"/>
    <w:rsid w:val="00ED4582"/>
    <w:rsid w:val="00F14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5F0F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1F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5F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45F0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A45F0F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45F0F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A45F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A45F0F"/>
    <w:pPr>
      <w:ind w:firstLine="51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A45F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Subtitle"/>
    <w:basedOn w:val="a"/>
    <w:link w:val="aa"/>
    <w:qFormat/>
    <w:rsid w:val="00A45F0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basedOn w:val="a0"/>
    <w:link w:val="a9"/>
    <w:rsid w:val="00A45F0F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A45F0F"/>
    <w:pPr>
      <w:spacing w:line="360" w:lineRule="auto"/>
      <w:jc w:val="both"/>
    </w:pPr>
  </w:style>
  <w:style w:type="character" w:customStyle="1" w:styleId="30">
    <w:name w:val="Основной текст 3 Знак"/>
    <w:basedOn w:val="a0"/>
    <w:link w:val="3"/>
    <w:semiHidden/>
    <w:rsid w:val="00A45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A45F0F"/>
    <w:pPr>
      <w:ind w:left="6372" w:firstLine="3"/>
    </w:pPr>
  </w:style>
  <w:style w:type="character" w:customStyle="1" w:styleId="22">
    <w:name w:val="Основной текст с отступом 2 Знак"/>
    <w:basedOn w:val="a0"/>
    <w:link w:val="21"/>
    <w:semiHidden/>
    <w:rsid w:val="00A4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1F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5F0F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1F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5F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45F0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A45F0F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45F0F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A45F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A45F0F"/>
    <w:pPr>
      <w:ind w:firstLine="51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A45F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Subtitle"/>
    <w:basedOn w:val="a"/>
    <w:link w:val="aa"/>
    <w:qFormat/>
    <w:rsid w:val="00A45F0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basedOn w:val="a0"/>
    <w:link w:val="a9"/>
    <w:rsid w:val="00A45F0F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A45F0F"/>
    <w:pPr>
      <w:spacing w:line="360" w:lineRule="auto"/>
      <w:jc w:val="both"/>
    </w:pPr>
  </w:style>
  <w:style w:type="character" w:customStyle="1" w:styleId="30">
    <w:name w:val="Основной текст 3 Знак"/>
    <w:basedOn w:val="a0"/>
    <w:link w:val="3"/>
    <w:semiHidden/>
    <w:rsid w:val="00A45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A45F0F"/>
    <w:pPr>
      <w:ind w:left="6372" w:firstLine="3"/>
    </w:pPr>
  </w:style>
  <w:style w:type="character" w:customStyle="1" w:styleId="22">
    <w:name w:val="Основной текст с отступом 2 Знак"/>
    <w:basedOn w:val="a0"/>
    <w:link w:val="21"/>
    <w:semiHidden/>
    <w:rsid w:val="00A4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1F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2419</Words>
  <Characters>13789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19</cp:revision>
  <cp:lastPrinted>2016-08-18T13:51:00Z</cp:lastPrinted>
  <dcterms:created xsi:type="dcterms:W3CDTF">2016-08-16T08:14:00Z</dcterms:created>
  <dcterms:modified xsi:type="dcterms:W3CDTF">2016-10-20T06:59:00Z</dcterms:modified>
</cp:coreProperties>
</file>